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LineNumbers/>
        <w:tabs>
          <w:tab w:val="left" w:pos="353"/>
          <w:tab w:val="center" w:pos="4153"/>
        </w:tabs>
        <w:spacing w:line="360" w:lineRule="auto"/>
        <w:jc w:val="center"/>
        <w:rPr>
          <w:rFonts w:ascii="Times New Roman" w:hAnsi="Times New Roman"/>
          <w:b/>
          <w:bCs/>
          <w:color w:val="auto"/>
          <w:sz w:val="24"/>
        </w:rPr>
      </w:pPr>
      <w:bookmarkStart w:id="1" w:name="_GoBack"/>
      <w:bookmarkEnd w:id="1"/>
      <w:r>
        <w:rPr>
          <w:rFonts w:ascii="Times New Roman" w:hAnsi="Times New Roman"/>
          <w:color w:val="auto"/>
          <w:kern w:val="0"/>
          <w:sz w:val="24"/>
        </w:rPr>
        <w:t>The sequencing data quality of nine</w:t>
      </w:r>
      <w:r>
        <w:rPr>
          <w:rFonts w:ascii="Times New Roman" w:hAnsi="Times New Roman"/>
          <w:i/>
          <w:color w:val="auto"/>
          <w:kern w:val="0"/>
          <w:sz w:val="24"/>
        </w:rPr>
        <w:t xml:space="preserve"> S. litura</w:t>
      </w:r>
      <w:r>
        <w:rPr>
          <w:rFonts w:ascii="Times New Roman" w:hAnsi="Times New Roman"/>
          <w:color w:val="auto"/>
          <w:kern w:val="0"/>
          <w:sz w:val="24"/>
        </w:rPr>
        <w:t xml:space="preserve"> samples</w:t>
      </w:r>
    </w:p>
    <w:tbl>
      <w:tblPr>
        <w:tblStyle w:val="2"/>
        <w:tblW w:w="8522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76"/>
        <w:gridCol w:w="950"/>
        <w:gridCol w:w="283"/>
        <w:gridCol w:w="1134"/>
        <w:gridCol w:w="81"/>
        <w:gridCol w:w="723"/>
        <w:gridCol w:w="850"/>
        <w:gridCol w:w="756"/>
        <w:gridCol w:w="1468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000000" w:sz="8" w:space="0"/>
              <w:bottom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Sample</w:t>
            </w:r>
          </w:p>
        </w:tc>
        <w:tc>
          <w:tcPr>
            <w:tcW w:w="1176" w:type="dxa"/>
            <w:tcBorders>
              <w:top w:val="single" w:color="000000" w:sz="8" w:space="0"/>
              <w:bottom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Raw Reads</w:t>
            </w:r>
          </w:p>
        </w:tc>
        <w:tc>
          <w:tcPr>
            <w:tcW w:w="950" w:type="dxa"/>
            <w:tcBorders>
              <w:top w:val="single" w:color="000000" w:sz="8" w:space="0"/>
              <w:bottom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Clean      Reads</w:t>
            </w:r>
          </w:p>
        </w:tc>
        <w:tc>
          <w:tcPr>
            <w:tcW w:w="1498" w:type="dxa"/>
            <w:gridSpan w:val="3"/>
            <w:tcBorders>
              <w:top w:val="single" w:color="000000" w:sz="8" w:space="0"/>
              <w:bottom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Clean Bases (G)</w:t>
            </w:r>
          </w:p>
        </w:tc>
        <w:tc>
          <w:tcPr>
            <w:tcW w:w="723" w:type="dxa"/>
            <w:tcBorders>
              <w:top w:val="single" w:color="000000" w:sz="8" w:space="0"/>
              <w:bottom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Error</w:t>
            </w:r>
          </w:p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(%)</w:t>
            </w:r>
          </w:p>
        </w:tc>
        <w:tc>
          <w:tcPr>
            <w:tcW w:w="850" w:type="dxa"/>
            <w:tcBorders>
              <w:top w:val="single" w:color="000000" w:sz="8" w:space="0"/>
              <w:bottom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Q20</w:t>
            </w:r>
            <w:r>
              <w:rPr>
                <w:rFonts w:ascii="Times New Roman" w:hAnsi="Times New Roman"/>
                <w:color w:val="auto"/>
                <w:sz w:val="24"/>
                <w:vertAlign w:val="superscript"/>
              </w:rPr>
              <w:t>a</w:t>
            </w:r>
          </w:p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(%)</w:t>
            </w:r>
          </w:p>
        </w:tc>
        <w:tc>
          <w:tcPr>
            <w:tcW w:w="756" w:type="dxa"/>
            <w:tcBorders>
              <w:top w:val="single" w:color="000000" w:sz="8" w:space="0"/>
              <w:bottom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Q30</w:t>
            </w:r>
            <w:r>
              <w:rPr>
                <w:rFonts w:ascii="Times New Roman" w:hAnsi="Times New Roman"/>
                <w:color w:val="auto"/>
                <w:sz w:val="24"/>
                <w:vertAlign w:val="superscript"/>
              </w:rPr>
              <w:t>b</w:t>
            </w:r>
          </w:p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(%)</w:t>
            </w:r>
          </w:p>
        </w:tc>
        <w:tc>
          <w:tcPr>
            <w:tcW w:w="1468" w:type="dxa"/>
            <w:tcBorders>
              <w:top w:val="single" w:color="000000" w:sz="8" w:space="0"/>
              <w:bottom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GC Content (%)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GX1</w:t>
            </w:r>
          </w:p>
        </w:tc>
        <w:tc>
          <w:tcPr>
            <w:tcW w:w="1176" w:type="dxa"/>
            <w:tcBorders>
              <w:top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62007376</w:t>
            </w:r>
          </w:p>
        </w:tc>
        <w:tc>
          <w:tcPr>
            <w:tcW w:w="1233" w:type="dxa"/>
            <w:gridSpan w:val="2"/>
            <w:tcBorders>
              <w:top w:val="single" w:color="000000" w:sz="8" w:space="0"/>
            </w:tcBorders>
            <w:vAlign w:val="center"/>
          </w:tcPr>
          <w:p>
            <w:pPr>
              <w:suppressLineNumbers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59467694</w:t>
            </w:r>
          </w:p>
        </w:tc>
        <w:tc>
          <w:tcPr>
            <w:tcW w:w="1134" w:type="dxa"/>
            <w:tcBorders>
              <w:top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8.92</w:t>
            </w:r>
          </w:p>
        </w:tc>
        <w:tc>
          <w:tcPr>
            <w:tcW w:w="804" w:type="dxa"/>
            <w:gridSpan w:val="2"/>
            <w:tcBorders>
              <w:top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0.02</w:t>
            </w:r>
          </w:p>
        </w:tc>
        <w:tc>
          <w:tcPr>
            <w:tcW w:w="850" w:type="dxa"/>
            <w:tcBorders>
              <w:top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96.74</w:t>
            </w:r>
          </w:p>
        </w:tc>
        <w:tc>
          <w:tcPr>
            <w:tcW w:w="756" w:type="dxa"/>
            <w:tcBorders>
              <w:top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91.94</w:t>
            </w:r>
          </w:p>
        </w:tc>
        <w:tc>
          <w:tcPr>
            <w:tcW w:w="1468" w:type="dxa"/>
            <w:tcBorders>
              <w:top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47.37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GX2</w:t>
            </w:r>
          </w:p>
        </w:tc>
        <w:tc>
          <w:tcPr>
            <w:tcW w:w="1176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63447084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suppressLineNumbers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60901328</w:t>
            </w:r>
          </w:p>
        </w:tc>
        <w:tc>
          <w:tcPr>
            <w:tcW w:w="1134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9.14</w:t>
            </w:r>
          </w:p>
        </w:tc>
        <w:tc>
          <w:tcPr>
            <w:tcW w:w="804" w:type="dxa"/>
            <w:gridSpan w:val="2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0.02</w:t>
            </w:r>
          </w:p>
        </w:tc>
        <w:tc>
          <w:tcPr>
            <w:tcW w:w="850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96.83</w:t>
            </w:r>
          </w:p>
        </w:tc>
        <w:tc>
          <w:tcPr>
            <w:tcW w:w="756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92.10</w:t>
            </w:r>
          </w:p>
        </w:tc>
        <w:tc>
          <w:tcPr>
            <w:tcW w:w="1468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47.14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GX3</w:t>
            </w:r>
          </w:p>
        </w:tc>
        <w:tc>
          <w:tcPr>
            <w:tcW w:w="1176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54466924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suppressLineNumbers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52267042</w:t>
            </w:r>
          </w:p>
        </w:tc>
        <w:tc>
          <w:tcPr>
            <w:tcW w:w="1134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7.84</w:t>
            </w:r>
          </w:p>
        </w:tc>
        <w:tc>
          <w:tcPr>
            <w:tcW w:w="804" w:type="dxa"/>
            <w:gridSpan w:val="2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0.02</w:t>
            </w:r>
          </w:p>
        </w:tc>
        <w:tc>
          <w:tcPr>
            <w:tcW w:w="850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96.84</w:t>
            </w:r>
          </w:p>
        </w:tc>
        <w:tc>
          <w:tcPr>
            <w:tcW w:w="756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92.11</w:t>
            </w:r>
          </w:p>
        </w:tc>
        <w:tc>
          <w:tcPr>
            <w:tcW w:w="1468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47.23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LF1</w:t>
            </w:r>
          </w:p>
        </w:tc>
        <w:tc>
          <w:tcPr>
            <w:tcW w:w="1176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61103822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suppressLineNumbers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58580638</w:t>
            </w:r>
          </w:p>
        </w:tc>
        <w:tc>
          <w:tcPr>
            <w:tcW w:w="1134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8.79</w:t>
            </w:r>
          </w:p>
        </w:tc>
        <w:tc>
          <w:tcPr>
            <w:tcW w:w="804" w:type="dxa"/>
            <w:gridSpan w:val="2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0.02</w:t>
            </w:r>
          </w:p>
        </w:tc>
        <w:tc>
          <w:tcPr>
            <w:tcW w:w="850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96.68</w:t>
            </w:r>
          </w:p>
        </w:tc>
        <w:tc>
          <w:tcPr>
            <w:tcW w:w="756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91.78</w:t>
            </w:r>
          </w:p>
        </w:tc>
        <w:tc>
          <w:tcPr>
            <w:tcW w:w="1468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46.39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LF2</w:t>
            </w:r>
          </w:p>
        </w:tc>
        <w:tc>
          <w:tcPr>
            <w:tcW w:w="1176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59399040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suppressLineNumbers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57018846</w:t>
            </w:r>
          </w:p>
        </w:tc>
        <w:tc>
          <w:tcPr>
            <w:tcW w:w="1134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8.55</w:t>
            </w:r>
          </w:p>
        </w:tc>
        <w:tc>
          <w:tcPr>
            <w:tcW w:w="804" w:type="dxa"/>
            <w:gridSpan w:val="2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0.02</w:t>
            </w:r>
          </w:p>
        </w:tc>
        <w:tc>
          <w:tcPr>
            <w:tcW w:w="850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96.88</w:t>
            </w:r>
          </w:p>
        </w:tc>
        <w:tc>
          <w:tcPr>
            <w:tcW w:w="756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92.21</w:t>
            </w:r>
          </w:p>
        </w:tc>
        <w:tc>
          <w:tcPr>
            <w:tcW w:w="1468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46.44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LF3</w:t>
            </w:r>
          </w:p>
        </w:tc>
        <w:tc>
          <w:tcPr>
            <w:tcW w:w="1176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55142308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suppressLineNumbers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52908196</w:t>
            </w:r>
          </w:p>
        </w:tc>
        <w:tc>
          <w:tcPr>
            <w:tcW w:w="1134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7.94</w:t>
            </w:r>
          </w:p>
        </w:tc>
        <w:tc>
          <w:tcPr>
            <w:tcW w:w="804" w:type="dxa"/>
            <w:gridSpan w:val="2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0.02</w:t>
            </w:r>
          </w:p>
        </w:tc>
        <w:tc>
          <w:tcPr>
            <w:tcW w:w="850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96.78</w:t>
            </w:r>
          </w:p>
        </w:tc>
        <w:tc>
          <w:tcPr>
            <w:tcW w:w="756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91.98</w:t>
            </w:r>
          </w:p>
        </w:tc>
        <w:tc>
          <w:tcPr>
            <w:tcW w:w="1468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46.23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NJ1</w:t>
            </w:r>
          </w:p>
        </w:tc>
        <w:tc>
          <w:tcPr>
            <w:tcW w:w="1176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53662738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suppressLineNumbers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51429712</w:t>
            </w:r>
          </w:p>
        </w:tc>
        <w:tc>
          <w:tcPr>
            <w:tcW w:w="1134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7.71</w:t>
            </w:r>
          </w:p>
        </w:tc>
        <w:tc>
          <w:tcPr>
            <w:tcW w:w="804" w:type="dxa"/>
            <w:gridSpan w:val="2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0.02</w:t>
            </w:r>
          </w:p>
        </w:tc>
        <w:tc>
          <w:tcPr>
            <w:tcW w:w="850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96.58</w:t>
            </w:r>
          </w:p>
        </w:tc>
        <w:tc>
          <w:tcPr>
            <w:tcW w:w="756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91.56</w:t>
            </w:r>
          </w:p>
        </w:tc>
        <w:tc>
          <w:tcPr>
            <w:tcW w:w="1468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46.54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NJ2</w:t>
            </w:r>
          </w:p>
        </w:tc>
        <w:tc>
          <w:tcPr>
            <w:tcW w:w="1176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53682236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suppressLineNumbers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51474730</w:t>
            </w:r>
          </w:p>
        </w:tc>
        <w:tc>
          <w:tcPr>
            <w:tcW w:w="1134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7.72</w:t>
            </w:r>
          </w:p>
        </w:tc>
        <w:tc>
          <w:tcPr>
            <w:tcW w:w="804" w:type="dxa"/>
            <w:gridSpan w:val="2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0.02</w:t>
            </w:r>
          </w:p>
        </w:tc>
        <w:tc>
          <w:tcPr>
            <w:tcW w:w="850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96.73</w:t>
            </w:r>
          </w:p>
        </w:tc>
        <w:tc>
          <w:tcPr>
            <w:tcW w:w="756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91.88</w:t>
            </w:r>
          </w:p>
        </w:tc>
        <w:tc>
          <w:tcPr>
            <w:tcW w:w="1468" w:type="dxa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46.51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bottom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NJ3</w:t>
            </w:r>
          </w:p>
        </w:tc>
        <w:tc>
          <w:tcPr>
            <w:tcW w:w="1176" w:type="dxa"/>
            <w:tcBorders>
              <w:bottom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61665510</w:t>
            </w:r>
          </w:p>
        </w:tc>
        <w:tc>
          <w:tcPr>
            <w:tcW w:w="1233" w:type="dxa"/>
            <w:gridSpan w:val="2"/>
            <w:tcBorders>
              <w:bottom w:val="single" w:color="000000" w:sz="8" w:space="0"/>
            </w:tcBorders>
            <w:vAlign w:val="center"/>
          </w:tcPr>
          <w:p>
            <w:pPr>
              <w:suppressLineNumbers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59119284</w:t>
            </w:r>
          </w:p>
        </w:tc>
        <w:tc>
          <w:tcPr>
            <w:tcW w:w="1134" w:type="dxa"/>
            <w:tcBorders>
              <w:bottom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8.87</w:t>
            </w:r>
          </w:p>
        </w:tc>
        <w:tc>
          <w:tcPr>
            <w:tcW w:w="804" w:type="dxa"/>
            <w:gridSpan w:val="2"/>
            <w:tcBorders>
              <w:bottom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0.02</w:t>
            </w:r>
          </w:p>
        </w:tc>
        <w:tc>
          <w:tcPr>
            <w:tcW w:w="850" w:type="dxa"/>
            <w:tcBorders>
              <w:bottom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96.90</w:t>
            </w:r>
          </w:p>
        </w:tc>
        <w:tc>
          <w:tcPr>
            <w:tcW w:w="756" w:type="dxa"/>
            <w:tcBorders>
              <w:bottom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92.22</w:t>
            </w:r>
          </w:p>
        </w:tc>
        <w:tc>
          <w:tcPr>
            <w:tcW w:w="1468" w:type="dxa"/>
            <w:tcBorders>
              <w:bottom w:val="single" w:color="000000" w:sz="8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46.34</w:t>
            </w:r>
          </w:p>
        </w:tc>
      </w:tr>
    </w:tbl>
    <w:p>
      <w:pPr>
        <w:suppressLineNumbers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kern w:val="0"/>
          <w:sz w:val="24"/>
          <w:vertAlign w:val="superscript"/>
        </w:rPr>
        <w:t>a</w:t>
      </w:r>
      <w:r>
        <w:rPr>
          <w:rFonts w:ascii="Times New Roman" w:hAnsi="Times New Roman"/>
          <w:color w:val="auto"/>
          <w:kern w:val="0"/>
          <w:sz w:val="24"/>
        </w:rPr>
        <w:t xml:space="preserve">Q20: </w:t>
      </w:r>
      <w:bookmarkStart w:id="0" w:name="OLE_LINK4"/>
      <w:r>
        <w:rPr>
          <w:rFonts w:ascii="Times New Roman" w:hAnsi="Times New Roman"/>
          <w:color w:val="auto"/>
          <w:kern w:val="0"/>
          <w:sz w:val="24"/>
        </w:rPr>
        <w:t xml:space="preserve">the percentage of bases with a Phred value &gt; 20 </w:t>
      </w:r>
      <w:bookmarkEnd w:id="0"/>
    </w:p>
    <w:p>
      <w:pPr>
        <w:rPr>
          <w:color w:val="auto"/>
        </w:rPr>
      </w:pPr>
      <w:r>
        <w:rPr>
          <w:rFonts w:ascii="Times New Roman" w:hAnsi="Times New Roman"/>
          <w:color w:val="auto"/>
          <w:kern w:val="0"/>
          <w:sz w:val="24"/>
          <w:vertAlign w:val="superscript"/>
        </w:rPr>
        <w:t>b</w:t>
      </w:r>
      <w:r>
        <w:rPr>
          <w:rFonts w:ascii="Times New Roman" w:hAnsi="Times New Roman"/>
          <w:color w:val="auto"/>
          <w:kern w:val="0"/>
          <w:sz w:val="24"/>
        </w:rPr>
        <w:t>Q30: the percentage of bases with a Phred value &gt; 30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6616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2019-11-12T03:05:30Z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